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7E1" w:rsidRPr="007C0C77" w:rsidRDefault="00E857E1" w:rsidP="00187583">
      <w:pPr>
        <w:pStyle w:val="a3"/>
        <w:numPr>
          <w:ilvl w:val="0"/>
          <w:numId w:val="1"/>
        </w:numPr>
        <w:ind w:left="709" w:hanging="709"/>
        <w:rPr>
          <w:rFonts w:ascii="Cambria" w:hAnsi="Cambria"/>
          <w:b/>
          <w:bCs/>
          <w:color w:val="000068"/>
          <w:sz w:val="24"/>
          <w:szCs w:val="24"/>
        </w:rPr>
      </w:pPr>
      <w:r w:rsidRPr="007C0C77">
        <w:rPr>
          <w:rFonts w:ascii="Cambria" w:hAnsi="Cambria"/>
          <w:b/>
          <w:bCs/>
          <w:color w:val="000068"/>
          <w:sz w:val="24"/>
          <w:szCs w:val="24"/>
        </w:rPr>
        <w:t>Федеральный закон "О привлечении инвестиций с использованием инвестиционных платформ и о внесении изменений в отдельные законодательные акты Российской Федерации" от 02.08.2019</w:t>
      </w:r>
      <w:r w:rsidR="00BD5B7A" w:rsidRPr="007C0C77">
        <w:rPr>
          <w:rFonts w:ascii="Cambria" w:hAnsi="Cambria"/>
          <w:b/>
          <w:bCs/>
          <w:color w:val="000068"/>
          <w:sz w:val="24"/>
          <w:szCs w:val="24"/>
        </w:rPr>
        <w:t xml:space="preserve"> г.</w:t>
      </w:r>
      <w:r w:rsidRPr="007C0C77">
        <w:rPr>
          <w:rFonts w:ascii="Cambria" w:hAnsi="Cambria"/>
          <w:b/>
          <w:bCs/>
          <w:color w:val="000068"/>
          <w:sz w:val="24"/>
          <w:szCs w:val="24"/>
        </w:rPr>
        <w:t xml:space="preserve"> </w:t>
      </w:r>
      <w:r w:rsidR="00BD5B7A" w:rsidRPr="007C0C77">
        <w:rPr>
          <w:rFonts w:ascii="Cambria" w:hAnsi="Cambria"/>
          <w:b/>
          <w:bCs/>
          <w:color w:val="000068"/>
          <w:sz w:val="24"/>
          <w:szCs w:val="24"/>
        </w:rPr>
        <w:t>№</w:t>
      </w:r>
      <w:r w:rsidRPr="007C0C77">
        <w:rPr>
          <w:rFonts w:ascii="Cambria" w:hAnsi="Cambria"/>
          <w:b/>
          <w:bCs/>
          <w:color w:val="000068"/>
          <w:sz w:val="24"/>
          <w:szCs w:val="24"/>
        </w:rPr>
        <w:t xml:space="preserve"> 259-ФЗ</w:t>
      </w:r>
      <w:r w:rsidR="00BD5B7A" w:rsidRPr="007C0C77">
        <w:rPr>
          <w:rFonts w:ascii="Cambria" w:hAnsi="Cambria"/>
          <w:b/>
          <w:bCs/>
          <w:color w:val="000068"/>
          <w:sz w:val="24"/>
          <w:szCs w:val="24"/>
        </w:rPr>
        <w:t>.</w:t>
      </w:r>
    </w:p>
    <w:p w:rsidR="00E857E1" w:rsidRPr="007C0C77" w:rsidRDefault="00E857E1" w:rsidP="00187583">
      <w:pPr>
        <w:pStyle w:val="a3"/>
        <w:ind w:left="709" w:hanging="709"/>
        <w:rPr>
          <w:rFonts w:ascii="Cambria" w:hAnsi="Cambria"/>
          <w:b/>
          <w:bCs/>
          <w:color w:val="000068"/>
          <w:sz w:val="24"/>
          <w:szCs w:val="24"/>
        </w:rPr>
      </w:pPr>
    </w:p>
    <w:p w:rsidR="009E3706" w:rsidRPr="007C0C77" w:rsidRDefault="009E3706" w:rsidP="00187583">
      <w:pPr>
        <w:pStyle w:val="a3"/>
        <w:numPr>
          <w:ilvl w:val="0"/>
          <w:numId w:val="1"/>
        </w:numPr>
        <w:ind w:left="709" w:hanging="709"/>
        <w:rPr>
          <w:rFonts w:ascii="Cambria" w:hAnsi="Cambria"/>
          <w:b/>
          <w:bCs/>
          <w:color w:val="320064"/>
          <w:sz w:val="24"/>
          <w:szCs w:val="24"/>
        </w:rPr>
      </w:pPr>
      <w:r w:rsidRPr="007C0C77">
        <w:rPr>
          <w:rFonts w:ascii="Cambria" w:hAnsi="Cambria"/>
          <w:b/>
          <w:bCs/>
          <w:color w:val="320064"/>
          <w:sz w:val="24"/>
          <w:szCs w:val="24"/>
        </w:rPr>
        <w:t xml:space="preserve">Федеральный закон от 22.04.1996 </w:t>
      </w:r>
      <w:r w:rsidR="00BD5B7A" w:rsidRPr="007C0C77">
        <w:rPr>
          <w:rFonts w:ascii="Cambria" w:hAnsi="Cambria"/>
          <w:b/>
          <w:bCs/>
          <w:color w:val="320064"/>
          <w:sz w:val="24"/>
          <w:szCs w:val="24"/>
        </w:rPr>
        <w:t>г. №</w:t>
      </w:r>
      <w:r w:rsidRPr="007C0C77">
        <w:rPr>
          <w:rFonts w:ascii="Cambria" w:hAnsi="Cambria"/>
          <w:b/>
          <w:bCs/>
          <w:color w:val="320064"/>
          <w:sz w:val="24"/>
          <w:szCs w:val="24"/>
        </w:rPr>
        <w:t xml:space="preserve"> 39-ФЗ (ред. от 20.10.2022) "О рынке ценных бумаг"</w:t>
      </w:r>
      <w:r w:rsidR="00BD5B7A" w:rsidRPr="007C0C77">
        <w:rPr>
          <w:rFonts w:ascii="Cambria" w:hAnsi="Cambria"/>
          <w:b/>
          <w:bCs/>
          <w:color w:val="320064"/>
          <w:sz w:val="24"/>
          <w:szCs w:val="24"/>
        </w:rPr>
        <w:t>.</w:t>
      </w:r>
    </w:p>
    <w:p w:rsidR="009E3706" w:rsidRPr="00EA3320" w:rsidRDefault="009E3706" w:rsidP="009E3706">
      <w:pPr>
        <w:rPr>
          <w:sz w:val="24"/>
          <w:szCs w:val="24"/>
        </w:rPr>
      </w:pPr>
      <w:r w:rsidRPr="00EA3320">
        <w:rPr>
          <w:sz w:val="24"/>
          <w:szCs w:val="24"/>
        </w:rPr>
        <w:t>Статья 20.1. Особенности регистрации выпусков (дополнительных выпусков) эмиссионных ценных бумаг регистрирующими организациями</w:t>
      </w:r>
    </w:p>
    <w:p w:rsidR="009E3706" w:rsidRPr="00EA3320" w:rsidRDefault="009E3706" w:rsidP="009E3706">
      <w:pPr>
        <w:spacing w:after="60" w:line="240" w:lineRule="auto"/>
        <w:jc w:val="both"/>
        <w:rPr>
          <w:sz w:val="24"/>
          <w:szCs w:val="24"/>
        </w:rPr>
      </w:pPr>
      <w:r w:rsidRPr="00EA3320">
        <w:rPr>
          <w:sz w:val="24"/>
          <w:szCs w:val="24"/>
        </w:rPr>
        <w:t xml:space="preserve">1. </w:t>
      </w:r>
      <w:r w:rsidRPr="00EA3320">
        <w:rPr>
          <w:b/>
          <w:bCs/>
          <w:sz w:val="24"/>
          <w:szCs w:val="24"/>
        </w:rPr>
        <w:t xml:space="preserve">Регистрация выпусков акций, </w:t>
      </w:r>
      <w:r w:rsidRPr="00EA3320">
        <w:rPr>
          <w:b/>
          <w:bCs/>
          <w:sz w:val="24"/>
          <w:szCs w:val="24"/>
          <w:u w:val="single"/>
        </w:rPr>
        <w:t>подлежащих размещению при учреждении акционерных обществ</w:t>
      </w:r>
      <w:r w:rsidRPr="00EA3320">
        <w:rPr>
          <w:b/>
          <w:bCs/>
          <w:sz w:val="24"/>
          <w:szCs w:val="24"/>
        </w:rPr>
        <w:t xml:space="preserve">, а также регистрация выпусков (дополнительных выпусков) акций непубличных акционерных обществ, </w:t>
      </w:r>
      <w:r w:rsidRPr="00EA3320">
        <w:rPr>
          <w:b/>
          <w:bCs/>
          <w:sz w:val="24"/>
          <w:szCs w:val="24"/>
          <w:u w:val="double"/>
        </w:rPr>
        <w:t>размещаемых путем закрытой подписки с использованием инвестиционной платформы</w:t>
      </w:r>
      <w:r w:rsidRPr="00EA3320">
        <w:rPr>
          <w:b/>
          <w:bCs/>
          <w:sz w:val="24"/>
          <w:szCs w:val="24"/>
        </w:rPr>
        <w:t>, может осуществляться регистратором.</w:t>
      </w:r>
    </w:p>
    <w:p w:rsidR="009E3706" w:rsidRPr="00EA3320" w:rsidRDefault="009E3706" w:rsidP="009E3706">
      <w:pPr>
        <w:spacing w:after="60" w:line="240" w:lineRule="auto"/>
        <w:jc w:val="both"/>
        <w:rPr>
          <w:sz w:val="24"/>
          <w:szCs w:val="24"/>
        </w:rPr>
      </w:pPr>
      <w:r w:rsidRPr="00EA3320">
        <w:rPr>
          <w:sz w:val="24"/>
          <w:szCs w:val="24"/>
        </w:rPr>
        <w:t>…</w:t>
      </w:r>
    </w:p>
    <w:p w:rsidR="009E3706" w:rsidRPr="00EA3320" w:rsidRDefault="009E3706" w:rsidP="009E3706">
      <w:pPr>
        <w:spacing w:after="60" w:line="240" w:lineRule="auto"/>
        <w:jc w:val="both"/>
        <w:rPr>
          <w:sz w:val="24"/>
          <w:szCs w:val="24"/>
        </w:rPr>
      </w:pPr>
      <w:r w:rsidRPr="00EA3320">
        <w:rPr>
          <w:sz w:val="24"/>
          <w:szCs w:val="24"/>
        </w:rPr>
        <w:t xml:space="preserve">9. Регистрация в соответствии с настоящей статьей выпусков (дополнительных выпусков) эмиссионных ценных бумаг регистрирующими организациями и регистрация биржей проспектов ценных бумаг </w:t>
      </w:r>
      <w:r w:rsidRPr="00EA3320">
        <w:rPr>
          <w:b/>
          <w:bCs/>
          <w:sz w:val="24"/>
          <w:szCs w:val="24"/>
        </w:rPr>
        <w:t>осуществляются на основании договора, заключенного эмитентом с соответствующей регистрирующей организацией</w:t>
      </w:r>
      <w:r w:rsidRPr="00EA3320">
        <w:rPr>
          <w:sz w:val="24"/>
          <w:szCs w:val="24"/>
        </w:rPr>
        <w:t>.</w:t>
      </w:r>
    </w:p>
    <w:p w:rsidR="009E3706" w:rsidRPr="00EA3320" w:rsidRDefault="009E3706" w:rsidP="009E3706">
      <w:pPr>
        <w:spacing w:after="60" w:line="240" w:lineRule="auto"/>
        <w:jc w:val="both"/>
        <w:rPr>
          <w:sz w:val="24"/>
          <w:szCs w:val="24"/>
        </w:rPr>
      </w:pPr>
      <w:r w:rsidRPr="00EA3320">
        <w:rPr>
          <w:sz w:val="24"/>
          <w:szCs w:val="24"/>
        </w:rPr>
        <w:t xml:space="preserve">10. Договор о регистрации выпуска (выпусков) акций, подлежащих размещению </w:t>
      </w:r>
      <w:r w:rsidRPr="00EA3320">
        <w:rPr>
          <w:sz w:val="24"/>
          <w:szCs w:val="24"/>
          <w:u w:val="single"/>
        </w:rPr>
        <w:t>при учреждении акционерного общества</w:t>
      </w:r>
      <w:r w:rsidRPr="00EA3320">
        <w:rPr>
          <w:sz w:val="24"/>
          <w:szCs w:val="24"/>
        </w:rPr>
        <w:t xml:space="preserve">, может быть заключен </w:t>
      </w:r>
      <w:r w:rsidRPr="00EA3320">
        <w:rPr>
          <w:sz w:val="24"/>
          <w:szCs w:val="24"/>
          <w:u w:val="single"/>
        </w:rPr>
        <w:t>только с регистратором, который утвержден решением об учреждении акционерного общества</w:t>
      </w:r>
      <w:r w:rsidRPr="00EA3320">
        <w:rPr>
          <w:sz w:val="24"/>
          <w:szCs w:val="24"/>
        </w:rPr>
        <w:t xml:space="preserve">, а договор о регистрации выпуска (дополнительного выпуска) или выпусков (дополнительных выпусков) акций непубличного акционерного общества, </w:t>
      </w:r>
      <w:r w:rsidRPr="00EA3320">
        <w:rPr>
          <w:sz w:val="24"/>
          <w:szCs w:val="24"/>
          <w:u w:val="double"/>
        </w:rPr>
        <w:t>размещаемых путем закрытой подписки с использованием инвестиционной платформы</w:t>
      </w:r>
      <w:r w:rsidRPr="00EA3320">
        <w:rPr>
          <w:sz w:val="24"/>
          <w:szCs w:val="24"/>
        </w:rPr>
        <w:t xml:space="preserve">, - </w:t>
      </w:r>
      <w:r w:rsidRPr="00EA3320">
        <w:rPr>
          <w:sz w:val="24"/>
          <w:szCs w:val="24"/>
          <w:u w:val="double"/>
        </w:rPr>
        <w:t>только с регистратором, который осуществляет ведение реестра владельцев эмиссионных ценных бумаг этого акционерного общества</w:t>
      </w:r>
      <w:r w:rsidRPr="00EA3320">
        <w:rPr>
          <w:sz w:val="24"/>
          <w:szCs w:val="24"/>
        </w:rPr>
        <w:t>. Договор о регистрации выпуска (выпусков) акций, подлежащих размещению при учреждении акционерного общества, заключается всеми учредителями акционерного общества или от имени всех его учредителей лицом, которое определено в договоре о создании акционерного общества или в решении о его учреждении. По обязательствам из указанного договора, возникшим до государственной регистрации акционерного общества, все его учредители несут солидарную ответственность. После государственной регистрации акционерного общества стороной такого договора становится указанное акционерное общество.</w:t>
      </w:r>
    </w:p>
    <w:p w:rsidR="009E3706" w:rsidRPr="00EA3320" w:rsidRDefault="009E3706" w:rsidP="009E3706">
      <w:pPr>
        <w:spacing w:after="60" w:line="240" w:lineRule="auto"/>
        <w:jc w:val="both"/>
        <w:rPr>
          <w:sz w:val="24"/>
          <w:szCs w:val="24"/>
        </w:rPr>
      </w:pPr>
      <w:r w:rsidRPr="00EA3320">
        <w:rPr>
          <w:sz w:val="24"/>
          <w:szCs w:val="24"/>
        </w:rPr>
        <w:t xml:space="preserve">Если это предусмотрено договором о регистрации выпуска (выпусков) акций, лицо, занимающее должность (осуществляющее функции) единоличного исполнительного органа регистратора, осуществившего регистрацию выпуска (выпусков) акций акционерного общества, </w:t>
      </w:r>
      <w:r w:rsidRPr="00EA3320">
        <w:rPr>
          <w:b/>
          <w:bCs/>
          <w:sz w:val="24"/>
          <w:szCs w:val="24"/>
        </w:rPr>
        <w:t>может без доверенности быть заявителем при государственной регистрации акционерного общества как юридического лица</w:t>
      </w:r>
      <w:r w:rsidRPr="00EA3320">
        <w:rPr>
          <w:sz w:val="24"/>
          <w:szCs w:val="24"/>
        </w:rPr>
        <w:t>.</w:t>
      </w:r>
    </w:p>
    <w:p w:rsidR="009E3706" w:rsidRPr="00EA3320" w:rsidRDefault="009E3706" w:rsidP="009E3706">
      <w:pPr>
        <w:spacing w:after="60" w:line="240" w:lineRule="auto"/>
        <w:jc w:val="both"/>
        <w:rPr>
          <w:sz w:val="24"/>
          <w:szCs w:val="24"/>
        </w:rPr>
      </w:pPr>
      <w:r w:rsidRPr="00EA3320">
        <w:rPr>
          <w:sz w:val="24"/>
          <w:szCs w:val="24"/>
        </w:rPr>
        <w:t xml:space="preserve">11. Регистрирующие организации </w:t>
      </w:r>
      <w:r w:rsidRPr="00EA3320">
        <w:rPr>
          <w:b/>
          <w:bCs/>
          <w:sz w:val="24"/>
          <w:szCs w:val="24"/>
        </w:rPr>
        <w:t>обязаны</w:t>
      </w:r>
      <w:r w:rsidRPr="00EA3320">
        <w:rPr>
          <w:sz w:val="24"/>
          <w:szCs w:val="24"/>
        </w:rPr>
        <w:t xml:space="preserve"> в срок и в порядке, которые предусмотрены нормативными актами Банка России, </w:t>
      </w:r>
      <w:r w:rsidRPr="00EA3320">
        <w:rPr>
          <w:b/>
          <w:bCs/>
          <w:sz w:val="24"/>
          <w:szCs w:val="24"/>
        </w:rPr>
        <w:t>уведомлять Банк России</w:t>
      </w:r>
      <w:r w:rsidRPr="00EA3320">
        <w:rPr>
          <w:sz w:val="24"/>
          <w:szCs w:val="24"/>
        </w:rPr>
        <w:t>:</w:t>
      </w:r>
    </w:p>
    <w:p w:rsidR="009E3706" w:rsidRPr="00EA3320" w:rsidRDefault="009E3706" w:rsidP="009E3706">
      <w:pPr>
        <w:spacing w:after="60" w:line="240" w:lineRule="auto"/>
        <w:jc w:val="both"/>
        <w:rPr>
          <w:sz w:val="24"/>
          <w:szCs w:val="24"/>
        </w:rPr>
      </w:pPr>
      <w:r w:rsidRPr="00EA3320">
        <w:rPr>
          <w:sz w:val="24"/>
          <w:szCs w:val="24"/>
        </w:rPr>
        <w:t xml:space="preserve">1) </w:t>
      </w:r>
      <w:r w:rsidRPr="00EA3320">
        <w:rPr>
          <w:b/>
          <w:bCs/>
          <w:sz w:val="24"/>
          <w:szCs w:val="24"/>
        </w:rPr>
        <w:t>о регистрации выпуска (дополнительного выпуска) эмиссионных ценных бумаг или об отказе в его регистрации</w:t>
      </w:r>
      <w:r w:rsidRPr="00EA3320">
        <w:rPr>
          <w:sz w:val="24"/>
          <w:szCs w:val="24"/>
        </w:rPr>
        <w:t>;</w:t>
      </w:r>
    </w:p>
    <w:p w:rsidR="009E3706" w:rsidRPr="00EA3320" w:rsidRDefault="009E3706" w:rsidP="009E3706">
      <w:pPr>
        <w:spacing w:after="60" w:line="240" w:lineRule="auto"/>
        <w:jc w:val="both"/>
        <w:rPr>
          <w:sz w:val="24"/>
          <w:szCs w:val="24"/>
        </w:rPr>
      </w:pPr>
      <w:r w:rsidRPr="00EA3320">
        <w:rPr>
          <w:sz w:val="24"/>
          <w:szCs w:val="24"/>
        </w:rPr>
        <w:lastRenderedPageBreak/>
        <w:t xml:space="preserve">2) </w:t>
      </w:r>
      <w:r w:rsidRPr="00EA3320">
        <w:rPr>
          <w:b/>
          <w:bCs/>
          <w:sz w:val="24"/>
          <w:szCs w:val="24"/>
        </w:rPr>
        <w:t>об итогах выпуска (дополнительного выпуска) эмиссионных ценных бумаг</w:t>
      </w:r>
      <w:r w:rsidRPr="00EA3320">
        <w:rPr>
          <w:sz w:val="24"/>
          <w:szCs w:val="24"/>
        </w:rPr>
        <w:t>;</w:t>
      </w:r>
    </w:p>
    <w:p w:rsidR="009E3706" w:rsidRPr="00EA3320" w:rsidRDefault="009E3706" w:rsidP="009E3706">
      <w:pPr>
        <w:spacing w:after="60" w:line="240" w:lineRule="auto"/>
        <w:jc w:val="both"/>
        <w:rPr>
          <w:sz w:val="24"/>
          <w:szCs w:val="24"/>
        </w:rPr>
      </w:pPr>
      <w:r w:rsidRPr="00EA3320">
        <w:rPr>
          <w:sz w:val="24"/>
          <w:szCs w:val="24"/>
        </w:rPr>
        <w:t>3) о приостановлении и возобновлении эмиссии ценных бумаг, а также о признании выпуска (дополнительного выпуска) эмиссионных ценных бумаг несостоявшимся по решению регистрирующей организации.</w:t>
      </w:r>
    </w:p>
    <w:p w:rsidR="009E3706" w:rsidRPr="00EA3320" w:rsidRDefault="009E3706" w:rsidP="009E3706">
      <w:pPr>
        <w:spacing w:after="60" w:line="240" w:lineRule="auto"/>
        <w:jc w:val="both"/>
        <w:rPr>
          <w:sz w:val="24"/>
          <w:szCs w:val="24"/>
        </w:rPr>
      </w:pPr>
      <w:r w:rsidRPr="00EA3320">
        <w:rPr>
          <w:sz w:val="24"/>
          <w:szCs w:val="24"/>
        </w:rPr>
        <w:t>12. В случае отказа регистрирующей организации в регистрации выпуска (дополнительного выпуска) эмиссионных ценных бумаг эмитент вправе обратиться в Банк России с заявлением о государственной регистрации такого выпуска (дополнительного выпуска) эмиссионных ценных бумаг. Положения настоящего пункта не применяются в отношении выпусков (дополнительных выпусков) облигаций, размещаемых в рамках зарегистрированных программ биржевых облигаций или коммерческих облигаций.</w:t>
      </w:r>
    </w:p>
    <w:p w:rsidR="009E3706" w:rsidRPr="00EA3320" w:rsidRDefault="009E3706" w:rsidP="009E3706">
      <w:pPr>
        <w:spacing w:after="60" w:line="240" w:lineRule="auto"/>
        <w:jc w:val="both"/>
        <w:rPr>
          <w:sz w:val="24"/>
          <w:szCs w:val="24"/>
        </w:rPr>
      </w:pPr>
      <w:r w:rsidRPr="00EA3320">
        <w:rPr>
          <w:sz w:val="24"/>
          <w:szCs w:val="24"/>
        </w:rPr>
        <w:t>13. Регистрирующие организации обязаны хранить документы, связанные с регистрацией ими выпусков (дополнительных выпусков) эмиссионных ценных бумаг. Перечень таких документов, сроки и порядок их хранения определяются нормативными актами Банка России.</w:t>
      </w:r>
    </w:p>
    <w:p w:rsidR="009E3706" w:rsidRPr="00EA3320" w:rsidRDefault="009E3706" w:rsidP="009E3706">
      <w:pPr>
        <w:spacing w:after="60" w:line="240" w:lineRule="auto"/>
        <w:jc w:val="both"/>
        <w:rPr>
          <w:sz w:val="24"/>
          <w:szCs w:val="24"/>
        </w:rPr>
      </w:pPr>
      <w:r w:rsidRPr="00EA3320">
        <w:rPr>
          <w:sz w:val="24"/>
          <w:szCs w:val="24"/>
        </w:rPr>
        <w:t>…</w:t>
      </w:r>
    </w:p>
    <w:p w:rsidR="001358D7" w:rsidRPr="00EA3320" w:rsidRDefault="009E3706" w:rsidP="007C0C77">
      <w:pPr>
        <w:spacing w:after="240" w:line="240" w:lineRule="auto"/>
        <w:jc w:val="both"/>
        <w:rPr>
          <w:sz w:val="24"/>
          <w:szCs w:val="24"/>
        </w:rPr>
      </w:pPr>
      <w:r w:rsidRPr="00EA3320">
        <w:rPr>
          <w:sz w:val="24"/>
          <w:szCs w:val="24"/>
        </w:rPr>
        <w:t>15. В случае нарушения регистрирующей организацией требований, установленных настоящим Федеральным законом для регистрации выпусков (дополнительных выпусков) эмиссионных ценных бумаг и регистрации проспектов ценных бумаг, Банк России вправе на срок до одного года запретить регистрирующей организации регистрацию выпусков (дополнительных выпусков) эмиссионных ценных бумаг и регистрацию проспектов ценных бумаг.</w:t>
      </w:r>
    </w:p>
    <w:p w:rsidR="00E857E1" w:rsidRPr="00EA3320" w:rsidRDefault="00E857E1" w:rsidP="00E857E1">
      <w:pPr>
        <w:pStyle w:val="a3"/>
        <w:numPr>
          <w:ilvl w:val="0"/>
          <w:numId w:val="1"/>
        </w:numPr>
        <w:rPr>
          <w:b/>
          <w:bCs/>
          <w:sz w:val="24"/>
          <w:szCs w:val="24"/>
        </w:rPr>
      </w:pPr>
      <w:r w:rsidRPr="00EA3320">
        <w:rPr>
          <w:b/>
          <w:bCs/>
          <w:sz w:val="24"/>
          <w:szCs w:val="24"/>
        </w:rPr>
        <w:t>Указание Банка России от 13</w:t>
      </w:r>
      <w:r w:rsidR="00BD5B7A" w:rsidRPr="00EA3320">
        <w:rPr>
          <w:b/>
          <w:bCs/>
          <w:sz w:val="24"/>
          <w:szCs w:val="24"/>
        </w:rPr>
        <w:t>.11.</w:t>
      </w:r>
      <w:r w:rsidRPr="00EA3320">
        <w:rPr>
          <w:b/>
          <w:bCs/>
          <w:sz w:val="24"/>
          <w:szCs w:val="24"/>
        </w:rPr>
        <w:t xml:space="preserve">2019 г. № 5314-У </w:t>
      </w:r>
      <w:r w:rsidR="00BD5B7A" w:rsidRPr="00EA3320">
        <w:rPr>
          <w:b/>
          <w:bCs/>
          <w:sz w:val="24"/>
          <w:szCs w:val="24"/>
        </w:rPr>
        <w:t>«</w:t>
      </w:r>
      <w:r w:rsidRPr="00EA3320">
        <w:rPr>
          <w:b/>
          <w:bCs/>
          <w:sz w:val="24"/>
          <w:szCs w:val="24"/>
        </w:rPr>
        <w:t>О порядке присвоения выпускам (дополнительным выпускам) эмиссионных ценных бумаг и программам облигаций регистрационных номеров и порядке аннулирования регистрационных номеров и индивидуальных кодов</w:t>
      </w:r>
      <w:r w:rsidR="00BD5B7A" w:rsidRPr="00EA3320">
        <w:rPr>
          <w:b/>
          <w:bCs/>
          <w:sz w:val="24"/>
          <w:szCs w:val="24"/>
        </w:rPr>
        <w:t>».</w:t>
      </w:r>
    </w:p>
    <w:p w:rsidR="00BD5B7A" w:rsidRPr="00EA3320" w:rsidRDefault="00BD5B7A" w:rsidP="00E857E1">
      <w:pPr>
        <w:pStyle w:val="a3"/>
        <w:numPr>
          <w:ilvl w:val="0"/>
          <w:numId w:val="1"/>
        </w:numPr>
        <w:rPr>
          <w:b/>
          <w:bCs/>
          <w:sz w:val="24"/>
          <w:szCs w:val="24"/>
        </w:rPr>
      </w:pPr>
      <w:r w:rsidRPr="00EA3320">
        <w:rPr>
          <w:b/>
          <w:bCs/>
          <w:sz w:val="24"/>
          <w:szCs w:val="24"/>
        </w:rPr>
        <w:t>Положение Банка России от 02.12.2019 г. № 703-П «О порядке ведения реестра эмиссионных ценных бумаг и предоставления содержащейся в нем информации».</w:t>
      </w:r>
    </w:p>
    <w:p w:rsidR="00BD5B7A" w:rsidRPr="007C0C77" w:rsidRDefault="00BD5B7A" w:rsidP="00BD5B7A">
      <w:pPr>
        <w:spacing w:after="60" w:line="240" w:lineRule="auto"/>
        <w:jc w:val="both"/>
        <w:rPr>
          <w:rFonts w:cs="Times New Roman"/>
          <w:color w:val="FF0000"/>
          <w:sz w:val="24"/>
          <w:szCs w:val="24"/>
        </w:rPr>
      </w:pPr>
      <w:r w:rsidRPr="007C0C77">
        <w:rPr>
          <w:rFonts w:cs="Times New Roman"/>
          <w:color w:val="FF0000"/>
          <w:sz w:val="24"/>
          <w:szCs w:val="24"/>
        </w:rPr>
        <w:t>Регистратор имеет право регистрировать выпуски (дополнительные выпуски) акций, если:</w:t>
      </w:r>
    </w:p>
    <w:p w:rsidR="00BD5B7A" w:rsidRPr="007C0C77" w:rsidRDefault="00BD5B7A" w:rsidP="00BD5B7A">
      <w:pPr>
        <w:pStyle w:val="a3"/>
        <w:numPr>
          <w:ilvl w:val="0"/>
          <w:numId w:val="2"/>
        </w:numPr>
        <w:spacing w:after="60" w:line="240" w:lineRule="auto"/>
        <w:jc w:val="both"/>
        <w:rPr>
          <w:rFonts w:cs="Times New Roman"/>
          <w:color w:val="FF0000"/>
          <w:sz w:val="24"/>
          <w:szCs w:val="24"/>
        </w:rPr>
      </w:pPr>
      <w:r w:rsidRPr="007C0C77">
        <w:rPr>
          <w:rFonts w:cs="Times New Roman"/>
          <w:color w:val="FF0000"/>
          <w:sz w:val="24"/>
          <w:szCs w:val="24"/>
        </w:rPr>
        <w:t>Эмитент – непубличное общество;</w:t>
      </w:r>
    </w:p>
    <w:p w:rsidR="00BD5B7A" w:rsidRPr="007C0C77" w:rsidRDefault="00BD5B7A" w:rsidP="00BD5B7A">
      <w:pPr>
        <w:pStyle w:val="a3"/>
        <w:numPr>
          <w:ilvl w:val="0"/>
          <w:numId w:val="2"/>
        </w:numPr>
        <w:spacing w:after="60" w:line="240" w:lineRule="auto"/>
        <w:jc w:val="both"/>
        <w:rPr>
          <w:rFonts w:cs="Times New Roman"/>
          <w:color w:val="FF0000"/>
          <w:sz w:val="24"/>
          <w:szCs w:val="24"/>
        </w:rPr>
      </w:pPr>
      <w:r w:rsidRPr="007C0C77">
        <w:rPr>
          <w:rFonts w:cs="Times New Roman"/>
          <w:color w:val="FF0000"/>
          <w:sz w:val="24"/>
          <w:szCs w:val="24"/>
        </w:rPr>
        <w:t>Способ размещения – закрытая подписка;</w:t>
      </w:r>
    </w:p>
    <w:p w:rsidR="00BD5B7A" w:rsidRPr="007C0C77" w:rsidRDefault="00BD5B7A" w:rsidP="00BD5B7A">
      <w:pPr>
        <w:pStyle w:val="a3"/>
        <w:numPr>
          <w:ilvl w:val="0"/>
          <w:numId w:val="2"/>
        </w:numPr>
        <w:spacing w:after="60" w:line="240" w:lineRule="auto"/>
        <w:jc w:val="both"/>
        <w:rPr>
          <w:rFonts w:cs="Times New Roman"/>
          <w:color w:val="FF0000"/>
          <w:sz w:val="24"/>
          <w:szCs w:val="24"/>
        </w:rPr>
      </w:pPr>
      <w:r w:rsidRPr="007C0C77">
        <w:rPr>
          <w:rFonts w:cs="Times New Roman"/>
          <w:color w:val="FF0000"/>
          <w:sz w:val="24"/>
          <w:szCs w:val="24"/>
        </w:rPr>
        <w:t>Акции размещаются с использованием инвестиционной платформы.</w:t>
      </w:r>
    </w:p>
    <w:p w:rsidR="00BD5B7A" w:rsidRPr="007C0C77" w:rsidRDefault="00BD5B7A" w:rsidP="00BD5B7A">
      <w:pPr>
        <w:spacing w:after="60" w:line="240" w:lineRule="auto"/>
        <w:jc w:val="both"/>
        <w:rPr>
          <w:rFonts w:cs="Times New Roman"/>
          <w:color w:val="FF0000"/>
          <w:sz w:val="24"/>
          <w:szCs w:val="24"/>
        </w:rPr>
      </w:pPr>
      <w:r w:rsidRPr="007C0C77">
        <w:rPr>
          <w:rFonts w:cs="Times New Roman"/>
          <w:color w:val="FF0000"/>
          <w:sz w:val="24"/>
          <w:szCs w:val="24"/>
        </w:rPr>
        <w:t xml:space="preserve">Оператором инвестиционной платформы может быть как сам регистратор, осуществляющий ведение реестра и выполняющий функции регистрирующей организации, так и другая организация-оператор. Сведения об организациях-операторах содержатся на сайте Банка России: </w:t>
      </w:r>
      <w:hyperlink r:id="rId7" w:history="1">
        <w:r w:rsidRPr="007C0C77">
          <w:rPr>
            <w:rStyle w:val="a4"/>
            <w:rFonts w:cs="Times New Roman"/>
            <w:color w:val="FF0000"/>
            <w:sz w:val="24"/>
            <w:szCs w:val="24"/>
          </w:rPr>
          <w:t>https://www.cbr.ru/admissionfinmarket/navigator/oip/</w:t>
        </w:r>
      </w:hyperlink>
    </w:p>
    <w:p w:rsidR="00BD5B7A" w:rsidRPr="007C0C77" w:rsidRDefault="00BD5B7A" w:rsidP="00BD5B7A">
      <w:pPr>
        <w:spacing w:after="60" w:line="240" w:lineRule="auto"/>
        <w:jc w:val="both"/>
        <w:rPr>
          <w:rFonts w:cs="Times New Roman"/>
          <w:color w:val="FF0000"/>
          <w:sz w:val="24"/>
          <w:szCs w:val="24"/>
        </w:rPr>
      </w:pPr>
      <w:r w:rsidRPr="007C0C77">
        <w:rPr>
          <w:rFonts w:cs="Times New Roman"/>
          <w:color w:val="FF0000"/>
          <w:sz w:val="24"/>
          <w:szCs w:val="24"/>
        </w:rPr>
        <w:t>Таким образом, возможны два варианта:</w:t>
      </w:r>
    </w:p>
    <w:p w:rsidR="00BD5B7A" w:rsidRPr="007C0C77" w:rsidRDefault="00BD5B7A" w:rsidP="00BD5B7A">
      <w:pPr>
        <w:pStyle w:val="a3"/>
        <w:numPr>
          <w:ilvl w:val="0"/>
          <w:numId w:val="4"/>
        </w:numPr>
        <w:spacing w:after="60" w:line="240" w:lineRule="auto"/>
        <w:jc w:val="both"/>
        <w:rPr>
          <w:rFonts w:cs="Times New Roman"/>
          <w:color w:val="FF0000"/>
          <w:sz w:val="24"/>
          <w:szCs w:val="24"/>
        </w:rPr>
      </w:pPr>
      <w:r w:rsidRPr="007C0C77">
        <w:rPr>
          <w:rFonts w:cs="Times New Roman"/>
          <w:color w:val="FF0000"/>
          <w:sz w:val="24"/>
          <w:szCs w:val="24"/>
        </w:rPr>
        <w:lastRenderedPageBreak/>
        <w:t>Регистратор выполняет три функции – ведет реестр АО, выступает как регистрирующая организация, а также является оператором инвестиционной платформы, с использованием которой размещаются акции</w:t>
      </w:r>
    </w:p>
    <w:p w:rsidR="00BD5B7A" w:rsidRPr="007C0C77" w:rsidRDefault="00BD5B7A" w:rsidP="00BD5B7A">
      <w:pPr>
        <w:pStyle w:val="a3"/>
        <w:numPr>
          <w:ilvl w:val="0"/>
          <w:numId w:val="4"/>
        </w:numPr>
        <w:spacing w:after="60" w:line="240" w:lineRule="auto"/>
        <w:jc w:val="both"/>
        <w:rPr>
          <w:rFonts w:cs="Times New Roman"/>
          <w:color w:val="FF0000"/>
          <w:sz w:val="24"/>
          <w:szCs w:val="24"/>
        </w:rPr>
      </w:pPr>
      <w:r w:rsidRPr="007C0C77">
        <w:rPr>
          <w:rFonts w:cs="Times New Roman"/>
          <w:color w:val="FF0000"/>
          <w:sz w:val="24"/>
          <w:szCs w:val="24"/>
        </w:rPr>
        <w:t>Регистратор выполняет две функции – ведет реестр АО и выступает как регистрирующая организация, а оператором инвестиционной платформы, с использованием которой размещаются акции, является другая организация (см. список выше), НО не другой регистратор.</w:t>
      </w:r>
    </w:p>
    <w:p w:rsidR="00BD5B7A" w:rsidRPr="007C0C77" w:rsidRDefault="00BD5B7A" w:rsidP="00BD5B7A">
      <w:pPr>
        <w:spacing w:after="60" w:line="240" w:lineRule="auto"/>
        <w:jc w:val="both"/>
        <w:rPr>
          <w:rFonts w:cs="Times New Roman"/>
          <w:color w:val="FF0000"/>
          <w:sz w:val="24"/>
          <w:szCs w:val="24"/>
        </w:rPr>
      </w:pPr>
      <w:r w:rsidRPr="007C0C77">
        <w:rPr>
          <w:rFonts w:cs="Times New Roman"/>
          <w:color w:val="FF0000"/>
          <w:sz w:val="24"/>
          <w:szCs w:val="24"/>
        </w:rPr>
        <w:t>Закон № 259-ФЗ также содержит ряд ограничений:</w:t>
      </w:r>
    </w:p>
    <w:p w:rsidR="00BD5B7A" w:rsidRPr="007C0C77" w:rsidRDefault="00BD5B7A" w:rsidP="00BD5B7A">
      <w:pPr>
        <w:pStyle w:val="a3"/>
        <w:numPr>
          <w:ilvl w:val="0"/>
          <w:numId w:val="3"/>
        </w:numPr>
        <w:tabs>
          <w:tab w:val="left" w:pos="426"/>
        </w:tabs>
        <w:spacing w:after="60" w:line="240" w:lineRule="auto"/>
        <w:ind w:left="0" w:firstLine="142"/>
        <w:jc w:val="both"/>
        <w:rPr>
          <w:rFonts w:cs="Times New Roman"/>
          <w:color w:val="FF0000"/>
          <w:sz w:val="24"/>
          <w:szCs w:val="24"/>
        </w:rPr>
      </w:pPr>
      <w:r w:rsidRPr="007C0C77">
        <w:rPr>
          <w:rFonts w:cs="Times New Roman"/>
          <w:color w:val="FF0000"/>
          <w:sz w:val="24"/>
          <w:szCs w:val="24"/>
        </w:rPr>
        <w:t>В течение одного календарного года одно лицо может привлечь с использованием инвестиционных платформ инвестиций на сумму не более 1 000 000 000 рублей (то есть, эмитент может зарегистрировать в течении одного календарного года на всех инвестиционных платформах выпусков ценных бумаг на сумму не более 1 000 000 000 рублей по цене размещения);</w:t>
      </w:r>
    </w:p>
    <w:p w:rsidR="00BD5B7A" w:rsidRPr="007C0C77" w:rsidRDefault="00BD5B7A" w:rsidP="00BD5B7A">
      <w:pPr>
        <w:pStyle w:val="a3"/>
        <w:numPr>
          <w:ilvl w:val="0"/>
          <w:numId w:val="3"/>
        </w:numPr>
        <w:tabs>
          <w:tab w:val="left" w:pos="426"/>
        </w:tabs>
        <w:spacing w:after="60" w:line="240" w:lineRule="auto"/>
        <w:ind w:left="0" w:firstLine="142"/>
        <w:jc w:val="both"/>
        <w:rPr>
          <w:rFonts w:cs="Times New Roman"/>
          <w:color w:val="FF0000"/>
          <w:sz w:val="24"/>
          <w:szCs w:val="24"/>
        </w:rPr>
      </w:pPr>
      <w:r w:rsidRPr="007C0C77">
        <w:rPr>
          <w:rFonts w:cs="Times New Roman"/>
          <w:color w:val="FF0000"/>
          <w:sz w:val="24"/>
          <w:szCs w:val="24"/>
        </w:rPr>
        <w:t>физическое лицо может приобретать в течении одного календарного года акции, размещаемые с использованием инвестиционной платформы, на сумму не более 600 000 рублей. Указанное ограничение не распространяется на граждан:</w:t>
      </w:r>
    </w:p>
    <w:p w:rsidR="00BD5B7A" w:rsidRPr="007C0C77" w:rsidRDefault="00BD5B7A" w:rsidP="00BD5B7A">
      <w:pPr>
        <w:pStyle w:val="a3"/>
        <w:spacing w:after="60" w:line="240" w:lineRule="auto"/>
        <w:jc w:val="both"/>
        <w:rPr>
          <w:rFonts w:cs="Times New Roman"/>
          <w:color w:val="FF0000"/>
          <w:sz w:val="24"/>
          <w:szCs w:val="24"/>
        </w:rPr>
      </w:pPr>
      <w:r w:rsidRPr="007C0C77">
        <w:rPr>
          <w:rFonts w:cs="Times New Roman"/>
          <w:color w:val="FF0000"/>
          <w:sz w:val="24"/>
          <w:szCs w:val="24"/>
        </w:rPr>
        <w:t>а. являющихся индивидуальными предпринимателями;</w:t>
      </w:r>
    </w:p>
    <w:p w:rsidR="00BD5B7A" w:rsidRPr="007C0C77" w:rsidRDefault="00BD5B7A" w:rsidP="00BD5B7A">
      <w:pPr>
        <w:pStyle w:val="a3"/>
        <w:spacing w:after="60" w:line="240" w:lineRule="auto"/>
        <w:jc w:val="both"/>
        <w:rPr>
          <w:rFonts w:cs="Times New Roman"/>
          <w:color w:val="FF0000"/>
          <w:sz w:val="24"/>
          <w:szCs w:val="24"/>
        </w:rPr>
      </w:pPr>
      <w:r w:rsidRPr="007C0C77">
        <w:rPr>
          <w:rFonts w:cs="Times New Roman"/>
          <w:color w:val="FF0000"/>
          <w:sz w:val="24"/>
          <w:szCs w:val="24"/>
        </w:rPr>
        <w:t>б. признаных оператором инвестиционной платформы квалифицированными инвесторами в соответствии со статьей 51.2 Федерального закона от 22 апреля 1996 года N 39-ФЗ "О рынке ценных бумаг".</w:t>
      </w:r>
    </w:p>
    <w:p w:rsidR="00BD5B7A" w:rsidRPr="007C0C77" w:rsidRDefault="00BD5B7A" w:rsidP="00BD5B7A">
      <w:pPr>
        <w:pStyle w:val="a3"/>
        <w:numPr>
          <w:ilvl w:val="0"/>
          <w:numId w:val="3"/>
        </w:numPr>
        <w:tabs>
          <w:tab w:val="left" w:pos="426"/>
        </w:tabs>
        <w:spacing w:after="60" w:line="240" w:lineRule="auto"/>
        <w:ind w:left="0" w:firstLine="142"/>
        <w:jc w:val="both"/>
        <w:rPr>
          <w:rFonts w:cs="Times New Roman"/>
          <w:color w:val="FF0000"/>
          <w:sz w:val="24"/>
          <w:szCs w:val="24"/>
        </w:rPr>
      </w:pPr>
      <w:r w:rsidRPr="007C0C77">
        <w:rPr>
          <w:rFonts w:cs="Times New Roman"/>
          <w:color w:val="FF0000"/>
          <w:sz w:val="24"/>
          <w:szCs w:val="24"/>
        </w:rPr>
        <w:t>Условия размещения акций, размещаемых путем закрытой подписки с использованием инвестиционной платформы, могут предусматривать оплату таких акций только безналичными денежными средствами. Таким образом акции, размещаемые путем закрытой подписки с использованием инвестиционной платформы оплачивать имуществом или зачетом встречного требования нельзя.</w:t>
      </w:r>
    </w:p>
    <w:p w:rsidR="00BD5B7A" w:rsidRPr="007C0C77" w:rsidRDefault="00BD5B7A" w:rsidP="00BD5B7A">
      <w:pPr>
        <w:tabs>
          <w:tab w:val="left" w:pos="426"/>
        </w:tabs>
        <w:spacing w:after="60" w:line="240" w:lineRule="auto"/>
        <w:jc w:val="both"/>
        <w:rPr>
          <w:rFonts w:cs="Times New Roman"/>
          <w:color w:val="FF0000"/>
          <w:sz w:val="24"/>
          <w:szCs w:val="24"/>
        </w:rPr>
      </w:pPr>
      <w:r w:rsidRPr="007C0C77">
        <w:rPr>
          <w:rFonts w:cs="Times New Roman"/>
          <w:color w:val="FF0000"/>
          <w:sz w:val="24"/>
          <w:szCs w:val="24"/>
        </w:rPr>
        <w:t xml:space="preserve">Почитать про инвестиционную платформу АО ВТБ Регистратор можно здесь: </w:t>
      </w:r>
      <w:hyperlink r:id="rId8" w:history="1">
        <w:r w:rsidRPr="007C0C77">
          <w:rPr>
            <w:rStyle w:val="a4"/>
            <w:rFonts w:cs="Times New Roman"/>
            <w:sz w:val="24"/>
            <w:szCs w:val="24"/>
          </w:rPr>
          <w:t>https://www.vtbreg.ru/invest-platform/start.php</w:t>
        </w:r>
      </w:hyperlink>
    </w:p>
    <w:p w:rsidR="00BD5B7A" w:rsidRPr="007C0C77" w:rsidRDefault="00BD5B7A" w:rsidP="00CC282B">
      <w:pPr>
        <w:tabs>
          <w:tab w:val="left" w:pos="426"/>
        </w:tabs>
        <w:spacing w:after="60" w:line="240" w:lineRule="auto"/>
        <w:jc w:val="both"/>
        <w:rPr>
          <w:rFonts w:cs="Times New Roman"/>
          <w:color w:val="FF0000"/>
          <w:sz w:val="24"/>
          <w:szCs w:val="24"/>
        </w:rPr>
      </w:pPr>
      <w:r w:rsidRPr="007C0C77">
        <w:rPr>
          <w:rFonts w:cs="Times New Roman"/>
          <w:color w:val="FF0000"/>
          <w:sz w:val="24"/>
          <w:szCs w:val="24"/>
        </w:rPr>
        <w:t>По результатам размещения акций с использованием инвестиционной платформы не нужно регистрировать отчет об итогах выпуска (п.п 4 п. 2 ст. 25 ФЗ «О рынке ценных бумаг»). После завершения размещения акций с использованием инвестиционной платформы, регистратор в течении одного рабочего дня с даты окончания размещения направляет в Банк России уведомление об итогах выпуска (дополнительного выпуска) ценных бумаг. Соответственно, платить государственную пошлину за регистрацию отчета (35 000 рублей) также не требуется. Для регистрации в ФНС изменений в устав, связанных с увеличением уставного капитала, подается выписка из государственного реестра эмиссионных ценных бумаг (п.2 ст. 12 ФЗ «Об акционерных обществах»). Сроки и порядок получения такой выписки установлены Положением Банка России от 02.12.2019 г. № 703-П «О порядке ведения реестра эмиссионных ценных бумаг и предоставления содержащейся в нем информации».</w:t>
      </w:r>
    </w:p>
    <w:sectPr w:rsidR="00BD5B7A" w:rsidRPr="007C0C77" w:rsidSect="007C0C77">
      <w:headerReference w:type="default" r:id="rId9"/>
      <w:footerReference w:type="default" r:id="rId10"/>
      <w:pgSz w:w="11906" w:h="16838"/>
      <w:pgMar w:top="1985"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320" w:rsidRDefault="00EA3320" w:rsidP="00EA3320">
      <w:pPr>
        <w:spacing w:after="0" w:line="240" w:lineRule="auto"/>
      </w:pPr>
      <w:r>
        <w:separator/>
      </w:r>
    </w:p>
  </w:endnote>
  <w:endnote w:type="continuationSeparator" w:id="0">
    <w:p w:rsidR="00EA3320" w:rsidRDefault="00EA3320" w:rsidP="00EA33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mbria" w:hAnsi="Cambria"/>
        <w:color w:val="333333"/>
        <w:sz w:val="20"/>
        <w:szCs w:val="20"/>
      </w:rPr>
      <w:id w:val="422275233"/>
      <w:docPartObj>
        <w:docPartGallery w:val="Page Numbers (Bottom of Page)"/>
        <w:docPartUnique/>
      </w:docPartObj>
    </w:sdtPr>
    <w:sdtContent>
      <w:sdt>
        <w:sdtPr>
          <w:rPr>
            <w:rFonts w:ascii="Cambria" w:hAnsi="Cambria"/>
            <w:color w:val="333333"/>
            <w:sz w:val="20"/>
            <w:szCs w:val="20"/>
          </w:rPr>
          <w:id w:val="422275234"/>
          <w:docPartObj>
            <w:docPartGallery w:val="Page Numbers (Top of Page)"/>
            <w:docPartUnique/>
          </w:docPartObj>
        </w:sdtPr>
        <w:sdtContent>
          <w:p w:rsidR="00EA3320" w:rsidRPr="00EA3320" w:rsidRDefault="00EA3320">
            <w:pPr>
              <w:pStyle w:val="a8"/>
              <w:jc w:val="right"/>
              <w:rPr>
                <w:rFonts w:ascii="Cambria" w:hAnsi="Cambria"/>
                <w:color w:val="333333"/>
                <w:sz w:val="20"/>
                <w:szCs w:val="20"/>
              </w:rPr>
            </w:pPr>
            <w:r w:rsidRPr="00EA3320">
              <w:rPr>
                <w:rFonts w:ascii="Cambria" w:hAnsi="Cambria"/>
                <w:color w:val="333333"/>
                <w:sz w:val="20"/>
                <w:szCs w:val="20"/>
              </w:rPr>
              <w:t xml:space="preserve">Страница </w:t>
            </w:r>
            <w:r w:rsidR="00D14399" w:rsidRPr="00EA3320">
              <w:rPr>
                <w:rFonts w:ascii="Cambria" w:hAnsi="Cambria"/>
                <w:b/>
                <w:color w:val="333333"/>
                <w:sz w:val="20"/>
                <w:szCs w:val="20"/>
              </w:rPr>
              <w:fldChar w:fldCharType="begin"/>
            </w:r>
            <w:r w:rsidRPr="00EA3320">
              <w:rPr>
                <w:rFonts w:ascii="Cambria" w:hAnsi="Cambria"/>
                <w:b/>
                <w:color w:val="333333"/>
                <w:sz w:val="20"/>
                <w:szCs w:val="20"/>
              </w:rPr>
              <w:instrText>PAGE</w:instrText>
            </w:r>
            <w:r w:rsidR="00D14399" w:rsidRPr="00EA3320">
              <w:rPr>
                <w:rFonts w:ascii="Cambria" w:hAnsi="Cambria"/>
                <w:b/>
                <w:color w:val="333333"/>
                <w:sz w:val="20"/>
                <w:szCs w:val="20"/>
              </w:rPr>
              <w:fldChar w:fldCharType="separate"/>
            </w:r>
            <w:r w:rsidR="00187583">
              <w:rPr>
                <w:rFonts w:ascii="Cambria" w:hAnsi="Cambria"/>
                <w:b/>
                <w:color w:val="333333"/>
                <w:sz w:val="20"/>
                <w:szCs w:val="20"/>
              </w:rPr>
              <w:t>1</w:t>
            </w:r>
            <w:r w:rsidR="00D14399" w:rsidRPr="00EA3320">
              <w:rPr>
                <w:rFonts w:ascii="Cambria" w:hAnsi="Cambria"/>
                <w:b/>
                <w:color w:val="333333"/>
                <w:sz w:val="20"/>
                <w:szCs w:val="20"/>
              </w:rPr>
              <w:fldChar w:fldCharType="end"/>
            </w:r>
            <w:r w:rsidRPr="00EA3320">
              <w:rPr>
                <w:rFonts w:ascii="Cambria" w:hAnsi="Cambria"/>
                <w:color w:val="333333"/>
                <w:sz w:val="20"/>
                <w:szCs w:val="20"/>
              </w:rPr>
              <w:t xml:space="preserve"> из </w:t>
            </w:r>
            <w:r w:rsidR="00D14399" w:rsidRPr="00EA3320">
              <w:rPr>
                <w:rFonts w:ascii="Cambria" w:hAnsi="Cambria"/>
                <w:b/>
                <w:color w:val="333333"/>
                <w:sz w:val="20"/>
                <w:szCs w:val="20"/>
              </w:rPr>
              <w:fldChar w:fldCharType="begin"/>
            </w:r>
            <w:r w:rsidRPr="00EA3320">
              <w:rPr>
                <w:rFonts w:ascii="Cambria" w:hAnsi="Cambria"/>
                <w:b/>
                <w:color w:val="333333"/>
                <w:sz w:val="20"/>
                <w:szCs w:val="20"/>
              </w:rPr>
              <w:instrText>NUMPAGES</w:instrText>
            </w:r>
            <w:r w:rsidR="00D14399" w:rsidRPr="00EA3320">
              <w:rPr>
                <w:rFonts w:ascii="Cambria" w:hAnsi="Cambria"/>
                <w:b/>
                <w:color w:val="333333"/>
                <w:sz w:val="20"/>
                <w:szCs w:val="20"/>
              </w:rPr>
              <w:fldChar w:fldCharType="separate"/>
            </w:r>
            <w:r w:rsidR="00187583">
              <w:rPr>
                <w:rFonts w:ascii="Cambria" w:hAnsi="Cambria"/>
                <w:b/>
                <w:color w:val="333333"/>
                <w:sz w:val="20"/>
                <w:szCs w:val="20"/>
              </w:rPr>
              <w:t>3</w:t>
            </w:r>
            <w:r w:rsidR="00D14399" w:rsidRPr="00EA3320">
              <w:rPr>
                <w:rFonts w:ascii="Cambria" w:hAnsi="Cambria"/>
                <w:b/>
                <w:color w:val="333333"/>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320" w:rsidRDefault="00EA3320" w:rsidP="00EA3320">
      <w:pPr>
        <w:spacing w:after="0" w:line="240" w:lineRule="auto"/>
      </w:pPr>
      <w:r>
        <w:separator/>
      </w:r>
    </w:p>
  </w:footnote>
  <w:footnote w:type="continuationSeparator" w:id="0">
    <w:p w:rsidR="00EA3320" w:rsidRDefault="00EA3320" w:rsidP="00EA33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320" w:rsidRDefault="00EA3320">
    <w:pPr>
      <w:pStyle w:val="a6"/>
    </w:pPr>
    <w:r>
      <w:rPr>
        <w:lang w:eastAsia="ru-RU"/>
      </w:rPr>
      <w:drawing>
        <wp:inline distT="0" distB="0" distL="0" distR="0">
          <wp:extent cx="457337" cy="468000"/>
          <wp:effectExtent l="19050" t="0" r="0" b="0"/>
          <wp:docPr id="1" name="Рисунок 0" descr="2_Логотип_ИП_Савельев_А_В_Квадра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Логотип_ИП_Савельев_А_В_Квадрат.jpg"/>
                  <pic:cNvPicPr/>
                </pic:nvPicPr>
                <pic:blipFill>
                  <a:blip r:embed="rId1"/>
                  <a:stretch>
                    <a:fillRect/>
                  </a:stretch>
                </pic:blipFill>
                <pic:spPr>
                  <a:xfrm>
                    <a:off x="0" y="0"/>
                    <a:ext cx="457337" cy="4680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A0E42"/>
    <w:multiLevelType w:val="hybridMultilevel"/>
    <w:tmpl w:val="54ACDA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4B271E"/>
    <w:multiLevelType w:val="hybridMultilevel"/>
    <w:tmpl w:val="498E5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0B7EB2"/>
    <w:multiLevelType w:val="hybridMultilevel"/>
    <w:tmpl w:val="252ED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C61245"/>
    <w:multiLevelType w:val="hybridMultilevel"/>
    <w:tmpl w:val="1FB4A576"/>
    <w:lvl w:ilvl="0" w:tplc="35FC91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hdrShapeDefaults>
    <o:shapedefaults v:ext="edit" spidmax="6145"/>
  </w:hdrShapeDefaults>
  <w:footnotePr>
    <w:footnote w:id="-1"/>
    <w:footnote w:id="0"/>
  </w:footnotePr>
  <w:endnotePr>
    <w:endnote w:id="-1"/>
    <w:endnote w:id="0"/>
  </w:endnotePr>
  <w:compat/>
  <w:rsids>
    <w:rsidRoot w:val="005F177A"/>
    <w:rsid w:val="00022227"/>
    <w:rsid w:val="001358D7"/>
    <w:rsid w:val="00187583"/>
    <w:rsid w:val="003F143E"/>
    <w:rsid w:val="004D5F58"/>
    <w:rsid w:val="00586E69"/>
    <w:rsid w:val="005F177A"/>
    <w:rsid w:val="0061191D"/>
    <w:rsid w:val="007957FB"/>
    <w:rsid w:val="007C0C77"/>
    <w:rsid w:val="007E0F25"/>
    <w:rsid w:val="00821CCA"/>
    <w:rsid w:val="0087382C"/>
    <w:rsid w:val="009146CD"/>
    <w:rsid w:val="00956AAD"/>
    <w:rsid w:val="009A2CC0"/>
    <w:rsid w:val="009E3706"/>
    <w:rsid w:val="00B81457"/>
    <w:rsid w:val="00BD4B57"/>
    <w:rsid w:val="00BD5B7A"/>
    <w:rsid w:val="00C276CF"/>
    <w:rsid w:val="00CC282B"/>
    <w:rsid w:val="00D14399"/>
    <w:rsid w:val="00E260FC"/>
    <w:rsid w:val="00E857E1"/>
    <w:rsid w:val="00EA33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457"/>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57E1"/>
    <w:pPr>
      <w:ind w:left="720"/>
      <w:contextualSpacing/>
    </w:pPr>
  </w:style>
  <w:style w:type="character" w:styleId="a4">
    <w:name w:val="Hyperlink"/>
    <w:basedOn w:val="a0"/>
    <w:uiPriority w:val="99"/>
    <w:unhideWhenUsed/>
    <w:rsid w:val="007E0F25"/>
    <w:rPr>
      <w:color w:val="0563C1" w:themeColor="hyperlink"/>
      <w:u w:val="single"/>
    </w:rPr>
  </w:style>
  <w:style w:type="character" w:customStyle="1" w:styleId="UnresolvedMention">
    <w:name w:val="Unresolved Mention"/>
    <w:basedOn w:val="a0"/>
    <w:uiPriority w:val="99"/>
    <w:semiHidden/>
    <w:unhideWhenUsed/>
    <w:rsid w:val="007E0F25"/>
    <w:rPr>
      <w:color w:val="605E5C"/>
      <w:shd w:val="clear" w:color="auto" w:fill="E1DFDD"/>
    </w:rPr>
  </w:style>
  <w:style w:type="character" w:styleId="a5">
    <w:name w:val="FollowedHyperlink"/>
    <w:basedOn w:val="a0"/>
    <w:uiPriority w:val="99"/>
    <w:semiHidden/>
    <w:unhideWhenUsed/>
    <w:rsid w:val="00956AAD"/>
    <w:rPr>
      <w:color w:val="954F72" w:themeColor="followedHyperlink"/>
      <w:u w:val="single"/>
    </w:rPr>
  </w:style>
  <w:style w:type="paragraph" w:styleId="a6">
    <w:name w:val="header"/>
    <w:basedOn w:val="a"/>
    <w:link w:val="a7"/>
    <w:uiPriority w:val="99"/>
    <w:semiHidden/>
    <w:unhideWhenUsed/>
    <w:rsid w:val="00EA332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A3320"/>
    <w:rPr>
      <w:noProof/>
    </w:rPr>
  </w:style>
  <w:style w:type="paragraph" w:styleId="a8">
    <w:name w:val="footer"/>
    <w:basedOn w:val="a"/>
    <w:link w:val="a9"/>
    <w:uiPriority w:val="99"/>
    <w:unhideWhenUsed/>
    <w:rsid w:val="00EA33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A3320"/>
    <w:rPr>
      <w:noProof/>
    </w:rPr>
  </w:style>
  <w:style w:type="paragraph" w:styleId="aa">
    <w:name w:val="Balloon Text"/>
    <w:basedOn w:val="a"/>
    <w:link w:val="ab"/>
    <w:uiPriority w:val="99"/>
    <w:semiHidden/>
    <w:unhideWhenUsed/>
    <w:rsid w:val="00EA33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A3320"/>
    <w:rPr>
      <w:rFonts w:ascii="Tahoma" w:hAnsi="Tahoma" w:cs="Tahoma"/>
      <w:noProof/>
      <w:sz w:val="16"/>
      <w:szCs w:val="16"/>
    </w:rPr>
  </w:style>
</w:styles>
</file>

<file path=word/webSettings.xml><?xml version="1.0" encoding="utf-8"?>
<w:webSettings xmlns:r="http://schemas.openxmlformats.org/officeDocument/2006/relationships" xmlns:w="http://schemas.openxmlformats.org/wordprocessingml/2006/main">
  <w:divs>
    <w:div w:id="1165778560">
      <w:bodyDiv w:val="1"/>
      <w:marLeft w:val="0"/>
      <w:marRight w:val="0"/>
      <w:marTop w:val="0"/>
      <w:marBottom w:val="0"/>
      <w:divBdr>
        <w:top w:val="none" w:sz="0" w:space="0" w:color="auto"/>
        <w:left w:val="none" w:sz="0" w:space="0" w:color="auto"/>
        <w:bottom w:val="none" w:sz="0" w:space="0" w:color="auto"/>
        <w:right w:val="none" w:sz="0" w:space="0" w:color="auto"/>
      </w:divBdr>
      <w:divsChild>
        <w:div w:id="113445564">
          <w:marLeft w:val="0"/>
          <w:marRight w:val="0"/>
          <w:marTop w:val="0"/>
          <w:marBottom w:val="600"/>
          <w:divBdr>
            <w:top w:val="none" w:sz="0" w:space="0" w:color="auto"/>
            <w:left w:val="none" w:sz="0" w:space="0" w:color="auto"/>
            <w:bottom w:val="none" w:sz="0" w:space="0" w:color="auto"/>
            <w:right w:val="none" w:sz="0" w:space="0" w:color="auto"/>
          </w:divBdr>
        </w:div>
        <w:div w:id="760299743">
          <w:marLeft w:val="0"/>
          <w:marRight w:val="0"/>
          <w:marTop w:val="0"/>
          <w:marBottom w:val="0"/>
          <w:divBdr>
            <w:top w:val="none" w:sz="0" w:space="0" w:color="auto"/>
            <w:left w:val="none" w:sz="0" w:space="0" w:color="auto"/>
            <w:bottom w:val="none" w:sz="0" w:space="0" w:color="auto"/>
            <w:right w:val="none" w:sz="0" w:space="0" w:color="auto"/>
          </w:divBdr>
          <w:divsChild>
            <w:div w:id="1752388497">
              <w:marLeft w:val="0"/>
              <w:marRight w:val="0"/>
              <w:marTop w:val="0"/>
              <w:marBottom w:val="0"/>
              <w:divBdr>
                <w:top w:val="none" w:sz="0" w:space="0" w:color="auto"/>
                <w:left w:val="none" w:sz="0" w:space="0" w:color="auto"/>
                <w:bottom w:val="none" w:sz="0" w:space="0" w:color="auto"/>
                <w:right w:val="none" w:sz="0" w:space="0" w:color="auto"/>
              </w:divBdr>
            </w:div>
            <w:div w:id="1911695311">
              <w:marLeft w:val="0"/>
              <w:marRight w:val="0"/>
              <w:marTop w:val="210"/>
              <w:marBottom w:val="0"/>
              <w:divBdr>
                <w:top w:val="none" w:sz="0" w:space="0" w:color="auto"/>
                <w:left w:val="none" w:sz="0" w:space="0" w:color="auto"/>
                <w:bottom w:val="none" w:sz="0" w:space="0" w:color="auto"/>
                <w:right w:val="none" w:sz="0" w:space="0" w:color="auto"/>
              </w:divBdr>
            </w:div>
            <w:div w:id="1209343410">
              <w:marLeft w:val="0"/>
              <w:marRight w:val="0"/>
              <w:marTop w:val="0"/>
              <w:marBottom w:val="0"/>
              <w:divBdr>
                <w:top w:val="none" w:sz="0" w:space="0" w:color="auto"/>
                <w:left w:val="none" w:sz="0" w:space="0" w:color="auto"/>
                <w:bottom w:val="none" w:sz="0" w:space="0" w:color="auto"/>
                <w:right w:val="none" w:sz="0" w:space="0" w:color="auto"/>
              </w:divBdr>
            </w:div>
            <w:div w:id="1360470335">
              <w:marLeft w:val="0"/>
              <w:marRight w:val="0"/>
              <w:marTop w:val="0"/>
              <w:marBottom w:val="0"/>
              <w:divBdr>
                <w:top w:val="none" w:sz="0" w:space="0" w:color="auto"/>
                <w:left w:val="none" w:sz="0" w:space="0" w:color="auto"/>
                <w:bottom w:val="none" w:sz="0" w:space="0" w:color="auto"/>
                <w:right w:val="none" w:sz="0" w:space="0" w:color="auto"/>
              </w:divBdr>
            </w:div>
            <w:div w:id="98377630">
              <w:marLeft w:val="0"/>
              <w:marRight w:val="0"/>
              <w:marTop w:val="0"/>
              <w:marBottom w:val="0"/>
              <w:divBdr>
                <w:top w:val="none" w:sz="0" w:space="0" w:color="auto"/>
                <w:left w:val="none" w:sz="0" w:space="0" w:color="auto"/>
                <w:bottom w:val="none" w:sz="0" w:space="0" w:color="auto"/>
                <w:right w:val="none" w:sz="0" w:space="0" w:color="auto"/>
              </w:divBdr>
            </w:div>
            <w:div w:id="2026590915">
              <w:marLeft w:val="0"/>
              <w:marRight w:val="0"/>
              <w:marTop w:val="0"/>
              <w:marBottom w:val="0"/>
              <w:divBdr>
                <w:top w:val="none" w:sz="0" w:space="0" w:color="auto"/>
                <w:left w:val="none" w:sz="0" w:space="0" w:color="auto"/>
                <w:bottom w:val="none" w:sz="0" w:space="0" w:color="auto"/>
                <w:right w:val="none" w:sz="0" w:space="0" w:color="auto"/>
              </w:divBdr>
            </w:div>
            <w:div w:id="423306618">
              <w:marLeft w:val="0"/>
              <w:marRight w:val="0"/>
              <w:marTop w:val="0"/>
              <w:marBottom w:val="0"/>
              <w:divBdr>
                <w:top w:val="none" w:sz="0" w:space="0" w:color="auto"/>
                <w:left w:val="none" w:sz="0" w:space="0" w:color="auto"/>
                <w:bottom w:val="none" w:sz="0" w:space="0" w:color="auto"/>
                <w:right w:val="none" w:sz="0" w:space="0" w:color="auto"/>
              </w:divBdr>
            </w:div>
            <w:div w:id="1013845526">
              <w:marLeft w:val="0"/>
              <w:marRight w:val="0"/>
              <w:marTop w:val="360"/>
              <w:marBottom w:val="0"/>
              <w:divBdr>
                <w:top w:val="none" w:sz="0" w:space="0" w:color="auto"/>
                <w:left w:val="none" w:sz="0" w:space="0" w:color="auto"/>
                <w:bottom w:val="none" w:sz="0" w:space="0" w:color="auto"/>
                <w:right w:val="none" w:sz="0" w:space="0" w:color="auto"/>
              </w:divBdr>
            </w:div>
            <w:div w:id="2130122907">
              <w:marLeft w:val="0"/>
              <w:marRight w:val="0"/>
              <w:marTop w:val="0"/>
              <w:marBottom w:val="0"/>
              <w:divBdr>
                <w:top w:val="none" w:sz="0" w:space="0" w:color="auto"/>
                <w:left w:val="none" w:sz="0" w:space="0" w:color="auto"/>
                <w:bottom w:val="none" w:sz="0" w:space="0" w:color="auto"/>
                <w:right w:val="none" w:sz="0" w:space="0" w:color="auto"/>
              </w:divBdr>
            </w:div>
            <w:div w:id="2108695502">
              <w:marLeft w:val="0"/>
              <w:marRight w:val="0"/>
              <w:marTop w:val="0"/>
              <w:marBottom w:val="0"/>
              <w:divBdr>
                <w:top w:val="none" w:sz="0" w:space="0" w:color="auto"/>
                <w:left w:val="none" w:sz="0" w:space="0" w:color="auto"/>
                <w:bottom w:val="none" w:sz="0" w:space="0" w:color="auto"/>
                <w:right w:val="none" w:sz="0" w:space="0" w:color="auto"/>
              </w:divBdr>
            </w:div>
            <w:div w:id="456530372">
              <w:marLeft w:val="0"/>
              <w:marRight w:val="0"/>
              <w:marTop w:val="0"/>
              <w:marBottom w:val="0"/>
              <w:divBdr>
                <w:top w:val="none" w:sz="0" w:space="0" w:color="auto"/>
                <w:left w:val="none" w:sz="0" w:space="0" w:color="auto"/>
                <w:bottom w:val="none" w:sz="0" w:space="0" w:color="auto"/>
                <w:right w:val="none" w:sz="0" w:space="0" w:color="auto"/>
              </w:divBdr>
            </w:div>
            <w:div w:id="213093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tbreg.ru/invest-platform/start.php" TargetMode="External"/><Relationship Id="rId3" Type="http://schemas.openxmlformats.org/officeDocument/2006/relationships/settings" Target="settings.xml"/><Relationship Id="rId7" Type="http://schemas.openxmlformats.org/officeDocument/2006/relationships/hyperlink" Target="https://www.cbr.ru/admissionfinmarket/navigator/o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1182</Words>
  <Characters>6738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Григорий Голубков</dc:creator>
  <cp:lastModifiedBy>Александр</cp:lastModifiedBy>
  <cp:revision>5</cp:revision>
  <dcterms:created xsi:type="dcterms:W3CDTF">2022-11-14T07:41:00Z</dcterms:created>
  <dcterms:modified xsi:type="dcterms:W3CDTF">2023-01-23T08:45:00Z</dcterms:modified>
</cp:coreProperties>
</file>